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9F" w:rsidRDefault="00E14B9F" w:rsidP="003F56E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граждан является важным конституционно-правовым средством выражения и защиты прав и свобод граждан. Конституция Российской Федерации (ст. 33) закрепляет право граждан обращаться лично, а также направлять индивидуальные и коллективные обращения в органы государственной власти         и органы местного самоуправления.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Ханты-Мансийска поддержание «обратной связи»   с населением посредством рассмотрения обращений граждан является одним                       из приоритетных направлений деятельности.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 в Администрации города Ханты-Мансийска в течение всего отчетного периода осуществлялось в соответствии с Конституцией Российской Федерации, Федеральным законом от 02.05.2006 №59-ФЗ «О порядке рассмотрения обращений граждан Российской Федерации», Порядком рассмотрения обращений граждан, объединений граждан, в том числе юридических лиц,                         в Администрации города Ханты-Мансийска и иными действующими федеральными и правовыми актами автономного округа.</w:t>
      </w:r>
      <w:proofErr w:type="gramEnd"/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приоритетных направлений организации работы по данному направлению были определены: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необходимых условий для быстрого и эффективного рассмотрения обращений граждан;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действенности </w:t>
      </w:r>
      <w:proofErr w:type="gramStart"/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и полнотой рассмотрения обращений граждан;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результативности рассмотрения обращений граждан.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письменными и устными обращениями граждан проводилась                        с учетом содержания  и была направлена на оказание помощи в защите прав                        и интересов заявителей.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в адрес Главы Администрации города Ханты-Мансийска                   и его заместителей поступило 2263 обращения. Это на 10,5% больше чем                             в аналогичном периоде прошлого года. 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письменных обращений составило 1379, по-прежнему их доля                     от общего количества обращений остается высока и составляет 60,9%.                       По сравнению с 2014 годом число письменных обращений увеличилось на 8,8%. 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поступивших устных обращений -  884, что составило 39,1%                  от общего числа поступивших обращений. Количество устных обращений также  увеличилось относительно прошлого года на 13,2%.</w:t>
      </w:r>
      <w:r w:rsidRPr="00E1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количестве письменных и устных обращений за 5-летний период отображены в   диаграмме 1. 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произошло увеличение количества запросов, обращений из вышестоящих организаций (федеральные органы исполнительной власти, Правительство Ханты-Мансийского автономного округа - Югры, депутаты всех </w:t>
      </w: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уровней). Число таких обращений - 516, их доля от общего числа поступивших обращений остается высокой - 37,4%.  По сравнению с 2014 годом количество поступивших обращений и запросов из вышеназванных органов увеличилось                   на 19,7%.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F" w:rsidRPr="00E14B9F" w:rsidRDefault="00E14B9F" w:rsidP="00E14B9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</w:t>
      </w:r>
    </w:p>
    <w:p w:rsidR="00E14B9F" w:rsidRPr="00E14B9F" w:rsidRDefault="00E14B9F" w:rsidP="00E14B9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B8A4D" wp14:editId="09058331">
            <wp:extent cx="6086475" cy="35623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14B9F" w:rsidRPr="00E14B9F" w:rsidRDefault="00E14B9F" w:rsidP="00E14B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F" w:rsidRPr="00E14B9F" w:rsidRDefault="00E14B9F" w:rsidP="00E14B9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Думы города Ханты-Мансийска в 2015 году поступило 173 обращения,                 из них от Главы города Ханты-Мансийска - 167 обращений, от депутатов Думы города Ханты-Мансийска - 6 (в 2014 году Главой города Ханты-Мансийска направлено 197 обращений, депутатами Думы города Ханты-Мансийска - 9;                          в</w:t>
      </w:r>
      <w:r w:rsidRPr="00E14B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2013 году 464 направлено Главой города Ханты-Мансийска и 7 - депутатами Думы города Ханты-Мансийска).</w:t>
      </w:r>
      <w:proofErr w:type="gramEnd"/>
    </w:p>
    <w:p w:rsidR="00E14B9F" w:rsidRPr="00E14B9F" w:rsidRDefault="00E14B9F" w:rsidP="00E14B9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раньше  заявители могли направить только письменные обращения либо обратиться лично к должностному лицу с устными обращениями, то с 2012 года                   к этим способам подачи обращений добавилась возможность  подачи обращений через Интернет-приемную Главы Администрации города Ханты-Мансийска                       на Официальном информационном портале органов местного самоуправления города Ханты-Мансийска. В 2015 году такой возможностью подачи обращения  воспользовалось 145 человек. В 2014 году через Интернет-приемную обратилось 132 заявителя, в 2013 году - 69.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обратившихся (2263):  49 неработающих пенсионеров (2,2%), 21 - инвалиды, родителей детей-инвалидов (0,9%), 19 многодетных родителей </w:t>
      </w: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(0,8%). Менее 1% составили ветераны боевых действий, ветераны и участники Великой Отечественной войны, лица из числа детей-сирот и детей, оставшихся без попечения родителей, граждане коренных малочисленных народов Севера.                         Не указали свою категорию 2160 человек (95,4%). Количество коллективных обращений 193, их доля от общего количества обращений составляет 8,5%. 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формой общения с гражданами продолжают оставаться личные приемы Главы Администрации города Ханты-Мансийска, заместителей  Главы Администрации города Ханты-Мансийска и руководителей органов Администрации города Ханты-Мансийска. Данные о приеме граждан по личным вопросам                             в динамике представлены в таблице 1.</w:t>
      </w:r>
    </w:p>
    <w:p w:rsidR="00E14B9F" w:rsidRPr="00E14B9F" w:rsidRDefault="00E14B9F" w:rsidP="00E14B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F" w:rsidRPr="00E14B9F" w:rsidRDefault="00E14B9F" w:rsidP="00E14B9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1417"/>
        <w:gridCol w:w="1276"/>
        <w:gridCol w:w="1276"/>
        <w:gridCol w:w="1276"/>
        <w:gridCol w:w="1275"/>
      </w:tblGrid>
      <w:tr w:rsidR="00E14B9F" w:rsidRPr="00E14B9F" w:rsidTr="008622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F">
              <w:rPr>
                <w:rFonts w:ascii="Times New Roman" w:hAnsi="Times New Roman" w:cs="Times New Roman"/>
                <w:sz w:val="28"/>
                <w:szCs w:val="28"/>
              </w:rPr>
              <w:t>Данные о приеме граждан по личным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F"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14B9F" w:rsidRPr="00E14B9F" w:rsidTr="008622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проведено личных приемов граждан,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E14B9F" w:rsidRPr="00E14B9F" w:rsidTr="008622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 xml:space="preserve">Главой Администрации города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14B9F" w:rsidRPr="00E14B9F" w:rsidTr="008622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Заместителями Главы 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14B9F" w:rsidRPr="00E14B9F" w:rsidTr="008622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Руководителями органов 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14B9F" w:rsidRPr="00E14B9F" w:rsidTr="008622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B9F" w:rsidRPr="00E14B9F" w:rsidRDefault="00E14B9F" w:rsidP="00E1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всего граждан на личных приемах: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1382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</w:tr>
      <w:tr w:rsidR="00E14B9F" w:rsidRPr="00E14B9F" w:rsidTr="008622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Главой 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14B9F" w:rsidRPr="00E14B9F" w:rsidTr="008622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Заместителями Главы 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14B9F" w:rsidRPr="00E14B9F" w:rsidTr="008622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Руководителями органов 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</w:tbl>
    <w:p w:rsidR="00E14B9F" w:rsidRPr="00E14B9F" w:rsidRDefault="00E14B9F" w:rsidP="00E14B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F" w:rsidRPr="00E14B9F" w:rsidRDefault="00E14B9F" w:rsidP="00E14B9F">
      <w:pPr>
        <w:shd w:val="clear" w:color="auto" w:fill="FFFFFF"/>
        <w:spacing w:after="0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течение 2015 года Глава Администрации города Ханты-Мансийска принял участие в 28 приемах граждан, обратившихся на личный прием                            к Губернатору Ханты-Мансийского автономного округа - Югры (принято 133 человека). В основном жители города обращались на прием к Губернатору автономного округа по жилищным вопросам (69).</w:t>
      </w:r>
    </w:p>
    <w:p w:rsidR="00E14B9F" w:rsidRPr="00E14B9F" w:rsidRDefault="00E14B9F" w:rsidP="00E14B9F">
      <w:pPr>
        <w:shd w:val="clear" w:color="auto" w:fill="FFFFFF"/>
        <w:spacing w:after="0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тематики вопросов, содержащиеся в письменной корреспонденции, в динамике на протяжении 5 лет, а также результаты рассмотрения обращений, представлены в таблице 2, диаграмме 2.</w:t>
      </w:r>
      <w:r w:rsidRPr="00E1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14B9F" w:rsidRPr="00E14B9F" w:rsidSect="001D3362">
          <w:headerReference w:type="default" r:id="rId6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</w:t>
      </w:r>
    </w:p>
    <w:tbl>
      <w:tblPr>
        <w:tblStyle w:val="a3"/>
        <w:tblW w:w="5261" w:type="pct"/>
        <w:tblLayout w:type="fixed"/>
        <w:tblLook w:val="04A0" w:firstRow="1" w:lastRow="0" w:firstColumn="1" w:lastColumn="0" w:noHBand="0" w:noVBand="1"/>
      </w:tblPr>
      <w:tblGrid>
        <w:gridCol w:w="1808"/>
        <w:gridCol w:w="853"/>
        <w:gridCol w:w="849"/>
        <w:gridCol w:w="849"/>
        <w:gridCol w:w="853"/>
        <w:gridCol w:w="996"/>
        <w:gridCol w:w="849"/>
        <w:gridCol w:w="846"/>
        <w:gridCol w:w="846"/>
        <w:gridCol w:w="846"/>
        <w:gridCol w:w="1002"/>
        <w:gridCol w:w="862"/>
        <w:gridCol w:w="131"/>
        <w:gridCol w:w="800"/>
        <w:gridCol w:w="193"/>
        <w:gridCol w:w="1133"/>
        <w:gridCol w:w="849"/>
        <w:gridCol w:w="993"/>
      </w:tblGrid>
      <w:tr w:rsidR="00E14B9F" w:rsidRPr="00E14B9F" w:rsidTr="00862275"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Тематика вопроса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Письменные обращения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Устные обращения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E14B9F" w:rsidRPr="00E14B9F" w:rsidTr="00862275"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</w:rPr>
            </w:pPr>
            <w:r w:rsidRPr="00E14B9F">
              <w:rPr>
                <w:rFonts w:ascii="Times New Roman" w:hAnsi="Times New Roman" w:cs="Times New Roman"/>
              </w:rPr>
              <w:t>2015</w:t>
            </w:r>
          </w:p>
        </w:tc>
      </w:tr>
      <w:tr w:rsidR="00E14B9F" w:rsidRPr="00E14B9F" w:rsidTr="0086227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Промышленность и строительство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(5,0%)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(4,2%)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(5,2%)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(5,1%)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(3,9%)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(1,7%)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(2,8%)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(4,1%)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(3,8%)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(1,5%)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(3,5%)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(3,6%)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(4,7%)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(4,6%)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(3,0%)</w:t>
            </w:r>
          </w:p>
        </w:tc>
      </w:tr>
      <w:tr w:rsidR="00E14B9F" w:rsidRPr="00E14B9F" w:rsidTr="0086227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(3,7%)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(1,4%)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(2,5%)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(2,5%)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(2,3%)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(0,07%)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(0,2%)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(0,4%)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(0,5%)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(0,3%)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(2,0%)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(0,9%)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(1,6%)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(1,7%)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(1,5%)</w:t>
            </w:r>
          </w:p>
        </w:tc>
      </w:tr>
      <w:tr w:rsidR="00E14B9F" w:rsidRPr="00E14B9F" w:rsidTr="0086227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Земельные отношения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(11,6%)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(8,9%)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(10,3%)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(8,8%)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(7,7%)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(3,5%)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(8,9%)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(12,2%)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(11,3%)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(11,9%)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(7,9%)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(8,9%)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(11,1%)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(9,7%)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(9,4%)</w:t>
            </w:r>
          </w:p>
        </w:tc>
      </w:tr>
      <w:tr w:rsidR="00E14B9F" w:rsidRPr="00E14B9F" w:rsidTr="0086227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(7,4%)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(2,9%)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(2,5%)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(2,5%)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(1,9%)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(51,5%)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(42,1%)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(23,5%)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(14,1%)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(11,8%)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(28,1%)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(20,1%)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(11,0%)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(6,9%)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(5,8%)</w:t>
            </w:r>
          </w:p>
        </w:tc>
      </w:tr>
      <w:tr w:rsidR="00E14B9F" w:rsidRPr="00E14B9F" w:rsidTr="0086227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Жилищные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(26,6%)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445 (31,5%)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(27,9%)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(25,6%)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399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(28,9%)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(29,4%)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(24,1%)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(31,3%)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(43,1%)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457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(51,7%)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847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(27,9%)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(28,3%)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(29,3%)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(32,3%)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856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(37,8%)</w:t>
            </w:r>
          </w:p>
        </w:tc>
      </w:tr>
      <w:tr w:rsidR="00E14B9F" w:rsidRPr="00E14B9F" w:rsidTr="0086227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(29,3%)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(28,6%)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(27,7%)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(30,1%)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377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(27,3%)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(4,3%)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(10,6%)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(15,8%)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(14,5%)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(11,1%)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(17,9%)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(20,7%)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(22,9%)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(24,1%)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474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(20,9%)</w:t>
            </w:r>
          </w:p>
        </w:tc>
      </w:tr>
      <w:tr w:rsidR="00E14B9F" w:rsidRPr="00E14B9F" w:rsidTr="0086227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Социальная защита населения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(1,4%)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(7,1%)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(1,5%)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(2,0%)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(0,5%)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(4,1%)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(3,0%)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(3,8%)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(3,4%)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(3,0%)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(2,6%)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(1,6%)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(2,4%)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(2,5%)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(1,5%)</w:t>
            </w:r>
          </w:p>
        </w:tc>
      </w:tr>
      <w:tr w:rsidR="00E14B9F" w:rsidRPr="00E14B9F" w:rsidTr="00862275">
        <w:trPr>
          <w:trHeight w:val="2068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</w:p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(торговля, государство общество, политика, правопорядок, запросы архивных данных, труд и заработная плата, наука, культура, спорт)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(14,9%)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(22,0%)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(22,3%)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(23,4%)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376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(27,3%)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(5,3%)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(8,3%)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(8,9%)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(9,2%)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(8,7%)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(10,6%)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(16,0%)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(16,9%)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(14,4%)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453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(20,0%)</w:t>
            </w:r>
          </w:p>
        </w:tc>
      </w:tr>
      <w:tr w:rsidR="00E14B9F" w:rsidRPr="00E14B9F" w:rsidTr="00862275">
        <w:trPr>
          <w:trHeight w:val="38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1292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1379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781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884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3034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2048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2263</w:t>
            </w:r>
          </w:p>
        </w:tc>
      </w:tr>
      <w:tr w:rsidR="00E14B9F" w:rsidRPr="00E14B9F" w:rsidTr="0086227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Результаты рассмотрения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4B9F" w:rsidRPr="00E14B9F" w:rsidTr="0086227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(12,9%)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(9,4%)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(16,2%)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(10,0%)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238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(17,2%)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(14,1%)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(9,8%)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(7,4%)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(4,7%)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(8,2%)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(13,4%)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(9,5%)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(12,6%)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311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(13,7%)</w:t>
            </w:r>
          </w:p>
        </w:tc>
      </w:tr>
      <w:tr w:rsidR="00E14B9F" w:rsidRPr="00E14B9F" w:rsidTr="0086227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Даны разъяснения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1419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(85,9%)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1270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(89,8%)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1059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(82,0%)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(89,2%)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1133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(82,1%)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1184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(85,7%)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(89,9%)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809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(92,2%)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(95,3%)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809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(91,5%)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2603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(85,8%)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2263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(89,9%)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1868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(86,1%)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1863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(91,1%)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1942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(85,8%)</w:t>
            </w:r>
          </w:p>
        </w:tc>
      </w:tr>
      <w:tr w:rsidR="00E14B9F" w:rsidRPr="00E14B9F" w:rsidTr="00862275">
        <w:trPr>
          <w:trHeight w:val="71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9F" w:rsidRPr="00E14B9F" w:rsidRDefault="00E14B9F" w:rsidP="00E14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Отказано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(1,2%)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(0,8%)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(1,8%)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(0,8%)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(0,6%)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(0,2%)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(0,4%)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(0,3%)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(0,2%)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(0,7%)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(0,6%)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(1,2%)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sz w:val="18"/>
                <w:szCs w:val="18"/>
              </w:rPr>
              <w:t>(0,5%)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E14B9F" w:rsidRPr="00E14B9F" w:rsidRDefault="00E14B9F" w:rsidP="00E1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B9F">
              <w:rPr>
                <w:rFonts w:ascii="Times New Roman" w:hAnsi="Times New Roman" w:cs="Times New Roman"/>
                <w:b/>
                <w:sz w:val="18"/>
                <w:szCs w:val="18"/>
              </w:rPr>
              <w:t>(0,4%)</w:t>
            </w:r>
          </w:p>
        </w:tc>
      </w:tr>
    </w:tbl>
    <w:p w:rsidR="00E14B9F" w:rsidRPr="00E14B9F" w:rsidRDefault="00E14B9F" w:rsidP="00E14B9F">
      <w:pPr>
        <w:shd w:val="clear" w:color="auto" w:fill="FFFFFF"/>
        <w:spacing w:after="0"/>
        <w:ind w:right="1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14B9F" w:rsidRPr="00E14B9F" w:rsidSect="001D3362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Диаграмма 2</w:t>
      </w:r>
    </w:p>
    <w:p w:rsidR="00E14B9F" w:rsidRPr="00E14B9F" w:rsidRDefault="00E14B9F" w:rsidP="00E14B9F">
      <w:pPr>
        <w:shd w:val="clear" w:color="auto" w:fill="FFFFFF"/>
        <w:spacing w:after="0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6B2C3" wp14:editId="5184B303">
            <wp:extent cx="5972175" cy="31432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поступившей корреспонденции показывает, что тематика обращений на протяжении последних лет остается стабильной.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предыдущие годы, значительное количество граждан</w:t>
      </w:r>
      <w:r w:rsidRPr="00E1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обратилось по  жилищным вопросам (856), что составило 37,8% от общего числа поступивших обращений в 2015 году (диаграмма 3). Все вопросы связаны со следующими тематическими аспектами: «Переселение                           из подвалов, </w:t>
      </w:r>
      <w:proofErr w:type="spellStart"/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балков</w:t>
      </w:r>
      <w:proofErr w:type="spellEnd"/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коммуналок, общежитий, аварийных домов, ветхого жилья, санитарно-защитной зоны»; «Улучшение жилищных условий, предоставление жилого помещения по договору социального найма». Увеличение числа обращений по этой теме произошло на 29,3%, в сравнении с 2014 годом. Практика показывает, что реализация жилищных прав                       по-прежнему является актуальной для большинства обратившихся заявителей.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Вопрос увеличения числа обращений по жилищным вопросам носит ситуативный характер. Например, при переселении из ветхого и аварийного жилья граждане не соглашаются с количеством квадратных метров предоставляемых квартир, количеством комнат, количеством квартир                             на семью, адресом предоставления (не устраивает район предоставления), что заставляет их обращаться вновь. Большинство граждан направляют свои обращения с целью уточнения сроков предоставления жилья, сроков переселения из ветхого и аварийного  жилья. 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основных тематических разделов продолжают преобладать вопросы жилищно-коммунального обслуживания (474). Доля этих вопросов               </w:t>
      </w: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общем количестве составила 20,9%. Следует отметить, что число обращений, содержащих данную тематику, незначительно снизилось                       по сравнению с аналогичным периодом прошлого года, - на 3,8%. Часто задаваемые вопросы этой темы: «Благоустройство городов и поселков. Обустройство придомовых территорий», «Оплата жилищно-коммунальных услуг (ЖКХ). Тарифы и льготы по оплате коммунальных услуг                                  и электроэнергии», «Управляющие компании, договоры на содержание                       и ремонт жилья», «Предоставление коммунальных услуг ненадлежащего качества».</w:t>
      </w:r>
    </w:p>
    <w:p w:rsidR="00E14B9F" w:rsidRPr="00E14B9F" w:rsidRDefault="00E14B9F" w:rsidP="00E14B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увеличение числа обратившихся граждан в сравнении                с прошлым годом, как устно, так и на личный прием, наблюдается                           по вопросам земельных отношений. Доля таких вопросов в общей массе составляет 9,4%.</w:t>
      </w:r>
    </w:p>
    <w:p w:rsidR="00E14B9F" w:rsidRPr="00E14B9F" w:rsidRDefault="00E14B9F" w:rsidP="00E14B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снижение наблюдается по вопросам образования,                                 в частности  предоставления мест в детских дошкольных учреждениях. Доля таких вопросов в отчетном периоде составила 5,8%, тогда как в 2011 году - 28,1%. На  2,7%  меньше поступило обращений в 2015 году, чем в 2014 году по вопросам промышленности и строительства. </w:t>
      </w: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3</w:t>
      </w: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D46190" wp14:editId="70AFCB98">
            <wp:extent cx="5705475" cy="34194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письменных обращений и обращений                        на личном приеме граждан указывают на то, что большей частью гражданам </w:t>
      </w: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дается обоснованное разъяснение (1942</w:t>
      </w:r>
      <w:r w:rsidRPr="00E14B9F">
        <w:rPr>
          <w:rFonts w:ascii="Times New Roman" w:hAnsi="Times New Roman" w:cs="Times New Roman"/>
          <w:sz w:val="28"/>
          <w:szCs w:val="28"/>
        </w:rPr>
        <w:t xml:space="preserve">), что составило (85,8%), </w:t>
      </w: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решение принято по 311</w:t>
      </w:r>
      <w:r w:rsidRPr="00E14B9F">
        <w:rPr>
          <w:rFonts w:ascii="Times New Roman" w:hAnsi="Times New Roman" w:cs="Times New Roman"/>
          <w:sz w:val="28"/>
          <w:szCs w:val="28"/>
        </w:rPr>
        <w:t xml:space="preserve"> </w:t>
      </w: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</w:t>
      </w:r>
      <w:r w:rsidRPr="00E14B9F">
        <w:rPr>
          <w:rFonts w:ascii="Times New Roman" w:hAnsi="Times New Roman" w:cs="Times New Roman"/>
          <w:b/>
        </w:rPr>
        <w:t xml:space="preserve"> </w:t>
      </w:r>
      <w:r w:rsidRPr="00E14B9F">
        <w:rPr>
          <w:rFonts w:ascii="Times New Roman" w:hAnsi="Times New Roman" w:cs="Times New Roman"/>
          <w:sz w:val="28"/>
          <w:szCs w:val="28"/>
        </w:rPr>
        <w:t>(13,7%)</w:t>
      </w: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заявителям дан мотивированный отказ (0,4%). Основной причиной небольшого количества удовлетворенных просьб явилось отсутствие законных оснований для их положительного решения вопроса, поставленного в обращении.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принято по вопросам следующих тематик:</w:t>
      </w:r>
      <w:r w:rsidRPr="00E1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коммунально-бытовое обслуживание</w:t>
      </w:r>
      <w:r w:rsidRPr="00E1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(109); жилищные (49); государство, общество, политика (11); земельные (17); выплата субсидии гражданам для поддержки личных подсобных хозяйств (8); промышленность                                    и строительство (8); транспорт и связь (7); образование (5); труд и заработная плата (4); наука, культура, спорт (2); экология и природопользование (1); прочие (90). 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результатах рассмотрения за 5 лет приведены в диаграмме 4.</w:t>
      </w: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4</w:t>
      </w: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9F" w:rsidRPr="00E14B9F" w:rsidRDefault="00E14B9F" w:rsidP="00E14B9F">
      <w:pPr>
        <w:shd w:val="clear" w:color="auto" w:fill="FFFFFF"/>
        <w:spacing w:after="0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noProof/>
          <w:color w:val="F2DBDB" w:themeColor="accent2" w:themeTint="33"/>
          <w:sz w:val="24"/>
          <w:szCs w:val="24"/>
          <w:highlight w:val="blue"/>
          <w:lang w:eastAsia="ru-RU"/>
        </w:rPr>
        <w:drawing>
          <wp:inline distT="0" distB="0" distL="0" distR="0" wp14:anchorId="232270D8" wp14:editId="7B4FD439">
            <wp:extent cx="5448300" cy="47529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4B9F" w:rsidRPr="00E14B9F" w:rsidRDefault="00E14B9F" w:rsidP="00E14B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F" w:rsidRPr="00E14B9F" w:rsidRDefault="00E14B9F" w:rsidP="00E14B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Увеличение количества обращений граждан связано </w:t>
      </w:r>
      <w:proofErr w:type="gramStart"/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гражданской активности населения;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подачей заявителем двух и более аналогичных обращений по одному и тому же вопросу одновременно в органы государственной власти и органы местного самоуправления. В последствие, государственные органы направляют запросы по обращению либо перенаправляют обращение гражданина по компетенции в адрес Администрации города Ханты-Мансийска;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информационных технологий. Если раньше граждане могли направить только письменное обращение либо обратиться лично                      к должностному лицу с устным обращением, то теперь к этим способам подачи обращений добавились: Интернет-приемная Главы Администрации города Ханты-Мансийска на Официальном информационном портале органов местного самоуправления города Ханты-Мансийска, электронная почта. Это значительно упрощает процесс подачи обращения, чем многие граждане и пользуются;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желанием граждан воздействовать на решение общественно значимых вопросов в процессе деятельности органов местного самоуправления;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информированностью граждан о действующих на территории города Ханты-Мансийска муниципальных программах;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существованием реальной потребности в сотрудничестве                          с руководством Администрации города Ханты-Мансийска.</w:t>
      </w:r>
    </w:p>
    <w:p w:rsidR="00E14B9F" w:rsidRPr="00E14B9F" w:rsidRDefault="00E14B9F" w:rsidP="00E14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Ханты-Мансийска проводится политика открытости своей деятельности, ежегодно увеличивается число проводимых публичных мероприятий («горячие линии» и пресс-конференции в СМИ, приемы граждан в общероссийский день приема граждан, прием граждан                    в общественной приемной), что дает гражданам дополнительные возможности обратиться к руководству Администрации города                          Ханты-Мансийска.</w:t>
      </w:r>
    </w:p>
    <w:p w:rsidR="000B4310" w:rsidRDefault="00E14B9F" w:rsidP="00E14B9F">
      <w:proofErr w:type="gramStart"/>
      <w:r w:rsidRPr="00E1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Первостепенной задачей Администрации города Ханты-Мансийска продолжает оставаться решение таких вопросов как: неукоснительное соблюдение срока рассмотрения обращений граждан, повышение результативности их рассмотрения, снижение напряженности                                    по обращениям, поступившим из федеральных органов исполнительной власти, Правительства Ханты-Мансийского автономного округа - Югры, усиление разъяснительной работы с населением при рассмотрении вопросов, обозначенных в обращениях, а также принятие действенных мер                             по предупреждению причин и условий, вызывающих жалобы населения.</w:t>
      </w:r>
      <w:proofErr w:type="gramEnd"/>
    </w:p>
    <w:sectPr w:rsidR="000B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268421"/>
      <w:docPartObj>
        <w:docPartGallery w:val="Page Numbers (Top of Page)"/>
        <w:docPartUnique/>
      </w:docPartObj>
    </w:sdtPr>
    <w:sdtEndPr/>
    <w:sdtContent>
      <w:p w:rsidR="00566582" w:rsidRDefault="003F56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66582" w:rsidRDefault="003F56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04"/>
    <w:rsid w:val="000B4310"/>
    <w:rsid w:val="003E1904"/>
    <w:rsid w:val="003F56E1"/>
    <w:rsid w:val="00E1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14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14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237471720529316"/>
          <c:y val="5.1055904108243143E-2"/>
          <c:w val="0.8090785043622124"/>
          <c:h val="0.63658090866983885"/>
        </c:manualLayout>
      </c:layout>
      <c:bar3DChart>
        <c:barDir val="col"/>
        <c:grouping val="percentStacked"/>
        <c:varyColors val="0"/>
        <c:ser>
          <c:idx val="0"/>
          <c:order val="0"/>
          <c:tx>
            <c:v>письменные обращения</c:v>
          </c:tx>
          <c:invertIfNegative val="0"/>
          <c:val>
            <c:numRef>
              <c:f>Лист1!$C$5:$G$5</c:f>
              <c:numCache>
                <c:formatCode>General</c:formatCode>
                <c:ptCount val="5"/>
                <c:pt idx="0">
                  <c:v>1652</c:v>
                </c:pt>
                <c:pt idx="1">
                  <c:v>1414</c:v>
                </c:pt>
                <c:pt idx="2">
                  <c:v>1292</c:v>
                </c:pt>
                <c:pt idx="3">
                  <c:v>1267</c:v>
                </c:pt>
                <c:pt idx="4">
                  <c:v>1379</c:v>
                </c:pt>
              </c:numCache>
            </c:numRef>
          </c:val>
        </c:ser>
        <c:ser>
          <c:idx val="1"/>
          <c:order val="1"/>
          <c:tx>
            <c:v>устные обращения (личный прием)</c:v>
          </c:tx>
          <c:invertIfNegative val="0"/>
          <c:val>
            <c:numRef>
              <c:f>Лист1!$C$6:$G$6</c:f>
              <c:numCache>
                <c:formatCode>General</c:formatCode>
                <c:ptCount val="5"/>
                <c:pt idx="0">
                  <c:v>1382</c:v>
                </c:pt>
                <c:pt idx="1">
                  <c:v>1105</c:v>
                </c:pt>
                <c:pt idx="2">
                  <c:v>877</c:v>
                </c:pt>
                <c:pt idx="3">
                  <c:v>781</c:v>
                </c:pt>
                <c:pt idx="4">
                  <c:v>884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58963968"/>
        <c:axId val="53572096"/>
        <c:axId val="0"/>
      </c:bar3DChart>
      <c:catAx>
        <c:axId val="58963968"/>
        <c:scaling>
          <c:orientation val="minMax"/>
        </c:scaling>
        <c:delete val="0"/>
        <c:axPos val="b"/>
        <c:numFmt formatCode="\20\10" sourceLinked="0"/>
        <c:majorTickMark val="none"/>
        <c:minorTickMark val="none"/>
        <c:tickLblPos val="nextTo"/>
        <c:crossAx val="53572096"/>
        <c:crosses val="autoZero"/>
        <c:auto val="1"/>
        <c:lblAlgn val="ctr"/>
        <c:lblOffset val="100"/>
        <c:noMultiLvlLbl val="0"/>
      </c:catAx>
      <c:valAx>
        <c:axId val="53572096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589639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0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промышленность и строительство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106</c:v>
                </c:pt>
                <c:pt idx="1">
                  <c:v>91</c:v>
                </c:pt>
                <c:pt idx="2">
                  <c:v>103</c:v>
                </c:pt>
                <c:pt idx="3">
                  <c:v>95</c:v>
                </c:pt>
                <c:pt idx="4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транспорт и связь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62</c:v>
                </c:pt>
                <c:pt idx="1">
                  <c:v>22</c:v>
                </c:pt>
                <c:pt idx="2">
                  <c:v>36</c:v>
                </c:pt>
                <c:pt idx="3">
                  <c:v>36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земельные отношения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240</c:v>
                </c:pt>
                <c:pt idx="1">
                  <c:v>224</c:v>
                </c:pt>
                <c:pt idx="2">
                  <c:v>240</c:v>
                </c:pt>
                <c:pt idx="3">
                  <c:v>199</c:v>
                </c:pt>
                <c:pt idx="4">
                  <c:v>212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образование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835</c:v>
                </c:pt>
                <c:pt idx="1">
                  <c:v>506</c:v>
                </c:pt>
                <c:pt idx="2">
                  <c:v>239</c:v>
                </c:pt>
                <c:pt idx="3">
                  <c:v>142</c:v>
                </c:pt>
                <c:pt idx="4">
                  <c:v>131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жилищные вопросы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847</c:v>
                </c:pt>
                <c:pt idx="1">
                  <c:v>712</c:v>
                </c:pt>
                <c:pt idx="2">
                  <c:v>636</c:v>
                </c:pt>
                <c:pt idx="3">
                  <c:v>662</c:v>
                </c:pt>
                <c:pt idx="4">
                  <c:v>856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коммунальное обслуживание-бытово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547</c:v>
                </c:pt>
                <c:pt idx="1">
                  <c:v>521</c:v>
                </c:pt>
                <c:pt idx="2">
                  <c:v>497</c:v>
                </c:pt>
                <c:pt idx="3">
                  <c:v>493</c:v>
                </c:pt>
                <c:pt idx="4">
                  <c:v>474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социальная защита населения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80</c:v>
                </c:pt>
                <c:pt idx="1">
                  <c:v>40</c:v>
                </c:pt>
                <c:pt idx="2">
                  <c:v>52</c:v>
                </c:pt>
                <c:pt idx="3">
                  <c:v>52</c:v>
                </c:pt>
                <c:pt idx="4">
                  <c:v>34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321</c:v>
                </c:pt>
                <c:pt idx="1">
                  <c:v>403</c:v>
                </c:pt>
                <c:pt idx="2">
                  <c:v>366</c:v>
                </c:pt>
                <c:pt idx="3">
                  <c:v>295</c:v>
                </c:pt>
                <c:pt idx="4">
                  <c:v>453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2556672"/>
        <c:axId val="87685312"/>
      </c:barChart>
      <c:catAx>
        <c:axId val="6255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87685312"/>
        <c:crosses val="autoZero"/>
        <c:auto val="1"/>
        <c:lblAlgn val="ctr"/>
        <c:lblOffset val="100"/>
        <c:noMultiLvlLbl val="0"/>
      </c:catAx>
      <c:valAx>
        <c:axId val="8768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55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09215514727324"/>
          <c:y val="6.4094488188976381E-2"/>
          <c:w val="0.31594976108755635"/>
          <c:h val="0.8497116141732283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от общего числа</c:v>
                </c:pt>
              </c:strCache>
            </c:strRef>
          </c:tx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промышленность и строительство</c:v>
                </c:pt>
                <c:pt idx="1">
                  <c:v>транспорт и связь</c:v>
                </c:pt>
                <c:pt idx="2">
                  <c:v>земельные отношения</c:v>
                </c:pt>
                <c:pt idx="3">
                  <c:v>образование</c:v>
                </c:pt>
                <c:pt idx="4">
                  <c:v>жилищные вопросы</c:v>
                </c:pt>
                <c:pt idx="5">
                  <c:v>коммунально-бытовое обслуживание</c:v>
                </c:pt>
                <c:pt idx="6">
                  <c:v>социальная защита населения</c:v>
                </c:pt>
                <c:pt idx="7">
                  <c:v>прочие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0.03</c:v>
                </c:pt>
                <c:pt idx="1">
                  <c:v>1.4999999999999999E-2</c:v>
                </c:pt>
                <c:pt idx="2">
                  <c:v>9.4E-2</c:v>
                </c:pt>
                <c:pt idx="3">
                  <c:v>5.8000000000000003E-2</c:v>
                </c:pt>
                <c:pt idx="4">
                  <c:v>0.378</c:v>
                </c:pt>
                <c:pt idx="5">
                  <c:v>0.20899999999999999</c:v>
                </c:pt>
                <c:pt idx="6">
                  <c:v>1.4999999999999999E-2</c:v>
                </c:pt>
                <c:pt idx="7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634368620589089"/>
          <c:y val="4.5715623171445292E-2"/>
          <c:w val="0.33976742490522016"/>
          <c:h val="0.6232088940901111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рассмотрения обращений граждан</a:t>
            </a:r>
          </a:p>
        </c:rich>
      </c:tx>
      <c:layout>
        <c:manualLayout>
          <c:xMode val="edge"/>
          <c:yMode val="edge"/>
          <c:x val="0.12842592592592592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решено положительно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408</c:v>
                </c:pt>
                <c:pt idx="1">
                  <c:v>241</c:v>
                </c:pt>
                <c:pt idx="2">
                  <c:v>274</c:v>
                </c:pt>
                <c:pt idx="3">
                  <c:v>164</c:v>
                </c:pt>
                <c:pt idx="4">
                  <c:v>311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даны разъяснения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2603</c:v>
                </c:pt>
                <c:pt idx="1">
                  <c:v>2263</c:v>
                </c:pt>
                <c:pt idx="2">
                  <c:v>1868</c:v>
                </c:pt>
                <c:pt idx="3">
                  <c:v>1863</c:v>
                </c:pt>
                <c:pt idx="4">
                  <c:v>1942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отказано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1">
                  <c:v>15</c:v>
                </c:pt>
                <c:pt idx="2">
                  <c:v>27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045248"/>
        <c:axId val="62726720"/>
        <c:axId val="0"/>
      </c:bar3DChart>
      <c:catAx>
        <c:axId val="125045248"/>
        <c:scaling>
          <c:orientation val="minMax"/>
        </c:scaling>
        <c:delete val="0"/>
        <c:axPos val="b"/>
        <c:majorTickMark val="out"/>
        <c:minorTickMark val="none"/>
        <c:tickLblPos val="nextTo"/>
        <c:crossAx val="62726720"/>
        <c:crosses val="autoZero"/>
        <c:auto val="1"/>
        <c:lblAlgn val="ctr"/>
        <c:lblOffset val="100"/>
        <c:noMultiLvlLbl val="0"/>
      </c:catAx>
      <c:valAx>
        <c:axId val="6272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045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2160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Анна Владимировна</dc:creator>
  <cp:keywords/>
  <dc:description/>
  <cp:lastModifiedBy>Селиверстова Анна Владимировна</cp:lastModifiedBy>
  <cp:revision>3</cp:revision>
  <dcterms:created xsi:type="dcterms:W3CDTF">2016-06-06T12:49:00Z</dcterms:created>
  <dcterms:modified xsi:type="dcterms:W3CDTF">2016-06-06T12:50:00Z</dcterms:modified>
</cp:coreProperties>
</file>